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gif" ContentType="image/gif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 xml:space="preserve">Лекция </w:t>
      </w:r>
      <w:r>
        <w:rPr>
          <w:rFonts w:ascii="Cambria" w:hAnsi="Cambria" w:asciiTheme="majorHAnsi" w:hAnsiTheme="majorHAnsi"/>
          <w:b/>
          <w:bCs/>
          <w:sz w:val="28"/>
          <w:szCs w:val="28"/>
          <w:lang w:val="en-US"/>
        </w:rPr>
        <w:t>N</w:t>
      </w:r>
      <w:r>
        <w:rPr>
          <w:rFonts w:ascii="Cambria" w:hAnsi="Cambria" w:asciiTheme="majorHAnsi" w:hAnsiTheme="majorHAnsi"/>
          <w:b/>
          <w:bCs/>
          <w:sz w:val="28"/>
          <w:szCs w:val="28"/>
        </w:rPr>
        <w:t>6 .</w:t>
      </w:r>
    </w:p>
    <w:p>
      <w:pPr>
        <w:pStyle w:val="Normal"/>
        <w:rPr>
          <w:rFonts w:ascii="Cambria" w:hAnsi="Cambria" w:cs="Arial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 xml:space="preserve">Тема: </w:t>
      </w:r>
      <w:r>
        <w:rPr>
          <w:rFonts w:cs="Arial" w:ascii="Cambria" w:hAnsi="Cambria" w:asciiTheme="majorHAnsi" w:hAnsiTheme="majorHAnsi"/>
          <w:sz w:val="28"/>
          <w:szCs w:val="28"/>
        </w:rPr>
        <w:t>Дарсонвализация. Индуктотермия. (Токи высокой частоты)</w:t>
      </w:r>
    </w:p>
    <w:p>
      <w:pPr>
        <w:pStyle w:val="Normal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Отделение: «Акушерка»</w:t>
      </w:r>
    </w:p>
    <w:p>
      <w:pPr>
        <w:pStyle w:val="Normal"/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 xml:space="preserve">Рекомендуемая литература:  </w:t>
      </w:r>
      <w:r>
        <w:rPr>
          <w:rFonts w:ascii="Cambria" w:hAnsi="Cambria" w:asciiTheme="majorHAnsi" w:hAnsiTheme="majorHAnsi"/>
          <w:bCs/>
          <w:sz w:val="28"/>
          <w:szCs w:val="28"/>
        </w:rPr>
        <w:t>Л.В.Козлова, С.А.Козлов, Л.А.Семененко «Основы реабилитации»  (стр.73-76)</w:t>
      </w:r>
    </w:p>
    <w:p>
      <w:pPr>
        <w:pStyle w:val="Normal"/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Г.Н. Пономаренко, В.С.Улащик «Общая физиотерапия».</w:t>
      </w:r>
    </w:p>
    <w:p>
      <w:pPr>
        <w:pStyle w:val="Normal"/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Цель занятия:</w:t>
      </w:r>
      <w:r>
        <w:rPr>
          <w:rFonts w:ascii="Cambria" w:hAnsi="Cambria" w:asciiTheme="majorHAnsi" w:hAnsiTheme="majorHAnsi"/>
          <w:bCs/>
          <w:sz w:val="28"/>
          <w:szCs w:val="28"/>
        </w:rPr>
        <w:t xml:space="preserve">  Освежить в памяти студентов понятие токов высокой частоты из школьного курса физики. Сформировать у студентов понимание физических процессов, происходящих в организме при воздействии на него токов высокой частоты. Студенты должны изучить терапевтическое действие процедуры «Дарсонвализация», показания к данной процедуре, противопоказания, методику проведения.</w:t>
      </w:r>
    </w:p>
    <w:p>
      <w:pPr>
        <w:pStyle w:val="Normal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План изложения материала:</w:t>
      </w:r>
    </w:p>
    <w:p>
      <w:pPr>
        <w:pStyle w:val="ListParagraph"/>
        <w:numPr>
          <w:ilvl w:val="0"/>
          <w:numId w:val="1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Токи высокой частоты.</w:t>
      </w:r>
    </w:p>
    <w:p>
      <w:pPr>
        <w:pStyle w:val="ListParagraph"/>
        <w:numPr>
          <w:ilvl w:val="0"/>
          <w:numId w:val="1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Дарсонвализация.</w:t>
      </w:r>
    </w:p>
    <w:p>
      <w:pPr>
        <w:pStyle w:val="ListParagraph"/>
        <w:numPr>
          <w:ilvl w:val="0"/>
          <w:numId w:val="1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Физиологическое действие токов Дарсонваля.</w:t>
      </w:r>
    </w:p>
    <w:p>
      <w:pPr>
        <w:pStyle w:val="ListParagraph"/>
        <w:numPr>
          <w:ilvl w:val="0"/>
          <w:numId w:val="1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Терапевтическое действие токов Дарсонваля.</w:t>
      </w:r>
    </w:p>
    <w:p>
      <w:pPr>
        <w:pStyle w:val="ListParagraph"/>
        <w:numPr>
          <w:ilvl w:val="0"/>
          <w:numId w:val="1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Общие показания и противопоказания.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>
          <w:rFonts w:ascii="Cambria" w:hAnsi="Cambria" w:asciiTheme="majorHAnsi" w:hAnsiTheme="majorHAnsi"/>
          <w:bCs/>
          <w:sz w:val="24"/>
          <w:szCs w:val="24"/>
        </w:rPr>
        <w:t>(Л.В.Козлова, С.А.Козлов, Л.А.Семененко «Основы реабилитации»  (стр.73-76))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 xml:space="preserve">Токи высокой частоты:  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Дарсонвализация, УВЧ (ультравысокая частота), СВЧ (свервысокая частота).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Переменный ток, применяемый для промышленных и бытовых целей, имеет 50 колебаний в секунду.</w:t>
      </w:r>
    </w:p>
    <w:p>
      <w:pPr>
        <w:pStyle w:val="Normal"/>
        <w:rPr>
          <w:rFonts w:ascii="Cambria" w:hAnsi="Cambria" w:cs="Arial" w:asciiTheme="majorHAnsi" w:hAnsiTheme="majorHAnsi"/>
          <w:b/>
          <w:b/>
          <w:i/>
          <w:i/>
          <w:sz w:val="28"/>
          <w:szCs w:val="28"/>
        </w:rPr>
      </w:pPr>
      <w:r>
        <w:rPr>
          <w:rFonts w:cs="Arial" w:ascii="Cambria" w:hAnsi="Cambria" w:asciiTheme="majorHAnsi" w:hAnsiTheme="majorHAnsi"/>
          <w:b/>
          <w:i/>
          <w:sz w:val="28"/>
          <w:szCs w:val="28"/>
        </w:rPr>
        <w:t>Токи с частотой выше 10000 Гц называют токами высокой частоты (ТВЧ).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1 кГц = 1000 Гц (килоГерц)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1 МГц = 1000 000 Гц (мегаГерц)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Ток высокой частоты характеризуют числом колебаний в секунду и длиной электромагнитной волны. Между длиной волны и частотой тока существует простое соотношение: чем меньше длина волны, тем выше частота колебаний. 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Частота высокочастотных электромагнитных колебаний, применяемых в лечебных целях, находится в пределах 30 кГц – 30 000 МГц (30 000Гц – 30 000 000 000Гц)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/>
        <w:drawing>
          <wp:inline distT="0" distB="0" distL="0" distR="0">
            <wp:extent cx="5715000" cy="3409950"/>
            <wp:effectExtent l="0" t="0" r="0" b="0"/>
            <wp:docPr id="1" name="Рисунок 9" descr="http://d.200-bal.ru/pars_docs/refs/8/7206/7206_html_m391171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http://d.200-bal.ru/pars_docs/refs/8/7206/7206_html_m391171ce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В тканях , </w:t>
      </w:r>
      <w:r>
        <w:rPr>
          <w:rFonts w:eastAsia="Times New Roman" w:cs="Times New Roman" w:ascii="Cambria" w:hAnsi="Cambria" w:asciiTheme="majorHAnsi" w:hAnsiTheme="majorHAnsi"/>
          <w:sz w:val="24"/>
          <w:szCs w:val="24"/>
          <w:lang w:eastAsia="ru-RU"/>
        </w:rPr>
        <w:t>в отличие от гальванизации (где используется постоянный ток),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 под воздействием переменного тока высокой частоты ионы перемещаются, но на незначительное расстояние, т.к. происходит  быстрое изменение направления тока или поля, приводящего к обратному перемещению частиц. 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В итоге – заряженные частицы и ионы совершают маятникообразные колебания. Концентрация ионов на тканевых мембранах изменяется незначительно, этим объясняется малый раздражающий эффект высокочастотных факторов.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Физиологическое действие высокочастотных переменных импульсных токов.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 xml:space="preserve">Неспецифический эффект: 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 образование эндогенного тепла (за счет колебания ионов)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 xml:space="preserve">Специфический эффект (осцилляторный): 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 колебательные движения ионов приводят к расшатыванию боковых цепей белковых молекул, что ведет к потере радикалов, благодаря чему изменяются свойства ткани.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32"/>
          <w:szCs w:val="32"/>
          <w:lang w:eastAsia="ru-RU"/>
        </w:rPr>
        <w:t>Дарсонвализация</w:t>
      </w: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 xml:space="preserve"> – 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применение  импульсного переменного тока высокой частоты (100-300 кГц), высокого напряжения (20 кВ) и малой силы (0,02 мА) с лечебной целью. 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Действующим фактором является  электрический разряд, возникающий между электродами и телом пациента.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Физиологическое воздействие дарсонвализации.</w:t>
      </w:r>
    </w:p>
    <w:p>
      <w:pPr>
        <w:pStyle w:val="ListParagraph"/>
        <w:numPr>
          <w:ilvl w:val="0"/>
          <w:numId w:val="2"/>
        </w:numPr>
        <w:spacing w:lineRule="auto" w:line="240" w:beforeAutospacing="1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Расширение артериальных и венозных сосудов.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Увеличение проницаемости стенок сосудов.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Стимуляция обменных процессов.</w:t>
      </w:r>
    </w:p>
    <w:p>
      <w:pPr>
        <w:pStyle w:val="ListParagraph"/>
        <w:numPr>
          <w:ilvl w:val="0"/>
          <w:numId w:val="2"/>
        </w:numPr>
        <w:spacing w:lineRule="auto" w:line="240" w:before="0" w:afterAutospacing="1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Понижение возбудимости чувствительных и двигательных нервов (болеутоляющее и противозудное действие)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 xml:space="preserve">Показания: </w:t>
      </w:r>
    </w:p>
    <w:p>
      <w:pPr>
        <w:pStyle w:val="ListParagraph"/>
        <w:numPr>
          <w:ilvl w:val="0"/>
          <w:numId w:val="3"/>
        </w:numPr>
        <w:spacing w:lineRule="auto" w:line="240" w:beforeAutospacing="1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Заболевания сосудистого генеза (варикозное расширение вен, геморрой, болезнь Рейно)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Заболевания кожи (дерматозы, псориаз, нейродермиты)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Стоматологические заболевания (парадонтоз, хронический гингивит (восп.десен), стоматит)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Заболевания лор-органов (вазомоторный ринит, неврит слухового нерва)</w:t>
      </w:r>
    </w:p>
    <w:p>
      <w:pPr>
        <w:pStyle w:val="ListParagraph"/>
        <w:numPr>
          <w:ilvl w:val="0"/>
          <w:numId w:val="3"/>
        </w:numPr>
        <w:spacing w:lineRule="auto" w:line="240" w:before="0" w:afterAutospacing="1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Гинекологические заболевания.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Противопоказания:</w:t>
      </w:r>
    </w:p>
    <w:p>
      <w:pPr>
        <w:pStyle w:val="ListParagraph"/>
        <w:numPr>
          <w:ilvl w:val="0"/>
          <w:numId w:val="4"/>
        </w:numPr>
        <w:spacing w:lineRule="auto" w:line="240" w:beforeAutospacing="1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Злокачественные новообразования.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Наклонность к кровотечениям.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Активный туберкулезный процесс.</w:t>
      </w:r>
    </w:p>
    <w:p>
      <w:pPr>
        <w:pStyle w:val="ListParagraph"/>
        <w:numPr>
          <w:ilvl w:val="0"/>
          <w:numId w:val="4"/>
        </w:numPr>
        <w:spacing w:lineRule="auto" w:line="240" w:before="0" w:afterAutospacing="1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Гематомы.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 xml:space="preserve">Аппаратура: 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для местной дарсонвализации применяют аппарат «Искра-1»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 xml:space="preserve">Дозировка: 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2-10 мин., сила тока –большая, малая, средняя, 5-20 процедур на курс.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 xml:space="preserve">Некоторые частные методики: 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Дарсонвализация волосистой части головы, ректальная при геморрое, вагинальная при гинекологических заболеваниях.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b/>
          <w:b/>
          <w:sz w:val="32"/>
          <w:szCs w:val="32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32"/>
          <w:szCs w:val="32"/>
          <w:lang w:eastAsia="ru-RU"/>
        </w:rPr>
        <w:t>Индуктотермия.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Индуктотермия – метод электролечения, действующим фактором которого является высокочастотное переменное электромагнитное поле. Действие энергии этих токов вызывает появление наведенных (индуктивных) вихревых токов – токи Фуко.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Процедура индуктотермии имеет два эффекта: тепловой и осцилляторный.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Энергия поля проникает на глубину 6 – 8 см. Наибольшее образование тепла происходит в тканях с хорошей электропроводностью: жидкие среды организма, паренхиматозные органы, мышцы.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b/>
          <w:b/>
          <w:sz w:val="32"/>
          <w:szCs w:val="32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32"/>
          <w:szCs w:val="32"/>
          <w:lang w:eastAsia="ru-RU"/>
        </w:rPr>
        <w:t>Физиология воздействия.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По хорошо изолированному кабелю, расположенному у тела пациента, пропускают высокочастотный ток, в результате чего вокруг кабеля образуется переменное магнитное поле высокой частоты, которое пронизывая тело больного, индуцирует в его тканях вихревые движения электрически заряженных частиц. Тепло образуется в результате трения и соударения колеблющихся частиц. 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Индуктотермию сочетают с электрофорезом (индуктофорез), с грязелечением (индуктогрязь</w:t>
      </w:r>
      <w:r>
        <w:rPr>
          <w:rFonts w:ascii="Cambria" w:hAnsi="Cambria" w:asciiTheme="majorHAnsi" w:hAnsiTheme="majorHAnsi"/>
          <w:sz w:val="28"/>
          <w:szCs w:val="28"/>
        </w:rPr>
        <w:t>- применение  электрического тока на грязевую лепёшку. Данная методика отличается мягким лечебным воздействием и подходит для людей с патологией сердечно-сосудистой системы).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Важно: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 если при тепловых аппликациях в организме быстро включаются механизмы  терморегуляции и к глубокорасположенным тканям значительные тепловые раздражители не поступают, то при индуктотермии – энергия как бы «перескакивает» через ПКЖ слой и поглощается в мышечном слое, паренхиме органов, жидких средах (кровь, лимфа, эксудаты).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b/>
          <w:b/>
          <w:sz w:val="32"/>
          <w:szCs w:val="32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32"/>
          <w:szCs w:val="32"/>
          <w:lang w:eastAsia="ru-RU"/>
        </w:rPr>
        <w:t>Терапевтическое воздействие.</w:t>
      </w:r>
    </w:p>
    <w:p>
      <w:pPr>
        <w:pStyle w:val="ListParagraph"/>
        <w:numPr>
          <w:ilvl w:val="0"/>
          <w:numId w:val="5"/>
        </w:numPr>
        <w:spacing w:lineRule="auto" w:line="240" w:beforeAutospacing="1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Расширение сосудов, ускорение кровотока.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Снижение АД.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Улучшение коронарного кровообращения.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Противовоспалительное и рассасывающее действие.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Понижение тонуса мышц.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Активизация ОВ.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Повышение содержания кислорода в тканях.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Обезболивающее и седативное действие (т.к. понижается возбудимость нервных рецепторов)</w:t>
      </w:r>
    </w:p>
    <w:p>
      <w:pPr>
        <w:pStyle w:val="ListParagraph"/>
        <w:numPr>
          <w:ilvl w:val="0"/>
          <w:numId w:val="5"/>
        </w:numPr>
        <w:spacing w:lineRule="auto" w:line="240" w:before="0" w:afterAutospacing="1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Бактериостатическое действие (повышение иммунитета, т.к. усиливается фагоцитарная активность лейкоцитов)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b/>
          <w:b/>
          <w:i/>
          <w:i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i/>
          <w:sz w:val="28"/>
          <w:szCs w:val="28"/>
          <w:lang w:eastAsia="ru-RU"/>
        </w:rPr>
      </w:r>
    </w:p>
    <w:p>
      <w:pPr>
        <w:pStyle w:val="ListParagraph"/>
        <w:spacing w:lineRule="auto" w:line="240" w:beforeAutospacing="1" w:afterAutospacing="1"/>
        <w:ind w:left="644" w:hanging="0"/>
        <w:contextualSpacing/>
        <w:rPr>
          <w:rFonts w:ascii="Cambria" w:hAnsi="Cambria" w:eastAsia="Times New Roman" w:cs="Times New Roman" w:asciiTheme="majorHAnsi" w:hAnsiTheme="majorHAnsi"/>
          <w:b/>
          <w:b/>
          <w:i/>
          <w:i/>
          <w:sz w:val="32"/>
          <w:szCs w:val="32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i/>
          <w:sz w:val="32"/>
          <w:szCs w:val="32"/>
          <w:lang w:eastAsia="ru-RU"/>
        </w:rPr>
        <w:t>Считается, что в сочетании с гальванизацией индуктотермия останавливает рост опухолевых клеток.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b/>
          <w:b/>
          <w:sz w:val="32"/>
          <w:szCs w:val="32"/>
          <w:lang w:eastAsia="ru-RU"/>
        </w:rPr>
      </w:pPr>
      <w:r>
        <w:rPr/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b/>
          <w:b/>
          <w:sz w:val="32"/>
          <w:szCs w:val="32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32"/>
          <w:szCs w:val="32"/>
          <w:lang w:eastAsia="ru-RU"/>
        </w:rPr>
        <w:t>Показания:</w:t>
      </w:r>
    </w:p>
    <w:p>
      <w:pPr>
        <w:pStyle w:val="ListParagraph"/>
        <w:numPr>
          <w:ilvl w:val="0"/>
          <w:numId w:val="6"/>
        </w:numPr>
        <w:spacing w:lineRule="auto" w:line="240" w:beforeAutospacing="1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Подострые и хронические воспалительные заболевания (нервов, мышц, суставов, органов дыхания, пищеварения, мочеполовых органов и др.)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Спайки и сращения после воспалительных процессов или операций.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Дегенеративно-дистрофические поражения суставов и позвоночника.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ЯБЖ.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Функциональные заболевания НС (невралгия, спазмы мышц, травматические поражения нервов).</w:t>
      </w:r>
    </w:p>
    <w:p>
      <w:pPr>
        <w:pStyle w:val="ListParagraph"/>
        <w:numPr>
          <w:ilvl w:val="0"/>
          <w:numId w:val="6"/>
        </w:numPr>
        <w:spacing w:lineRule="auto" w:line="240" w:before="0" w:afterAutospacing="1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Пиелонефрит.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b/>
          <w:b/>
          <w:sz w:val="32"/>
          <w:szCs w:val="32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32"/>
          <w:szCs w:val="32"/>
          <w:lang w:eastAsia="ru-RU"/>
        </w:rPr>
        <w:t>Противопоказания:</w:t>
      </w:r>
    </w:p>
    <w:p>
      <w:pPr>
        <w:pStyle w:val="ListParagraph"/>
        <w:numPr>
          <w:ilvl w:val="0"/>
          <w:numId w:val="7"/>
        </w:numPr>
        <w:spacing w:lineRule="auto" w:line="240" w:beforeAutospacing="1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Нарушения  болевой и термической чувствительности кожи.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Острые инфекционные заболевания.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Гнойно-воспалительные заболевания.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Склонность к кровотечениям.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Злокачественные новообразования.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Инфаркт миокарда.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Наличие кардиостимулятора.</w:t>
      </w:r>
    </w:p>
    <w:p>
      <w:pPr>
        <w:pStyle w:val="ListParagraph"/>
        <w:numPr>
          <w:ilvl w:val="0"/>
          <w:numId w:val="7"/>
        </w:numPr>
        <w:spacing w:lineRule="auto" w:line="240" w:before="0" w:afterAutospacing="1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Беременность.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bCs/>
          <w:sz w:val="28"/>
          <w:szCs w:val="28"/>
          <w:lang w:eastAsia="ru-RU"/>
        </w:rPr>
        <w:t xml:space="preserve">Дозируют: 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по силе анодного тока различают дозы: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слаботепловая (140-160 мА);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среднетепловая (180-240 мА);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— 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сильнотепловая (260-300 мА).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bCs/>
          <w:sz w:val="28"/>
          <w:szCs w:val="28"/>
          <w:lang w:eastAsia="ru-RU"/>
        </w:rPr>
        <w:t xml:space="preserve">Экспозиция 15-30 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мин, ежедневно или через день. Курс лече</w:t>
        <w:softHyphen/>
        <w:t xml:space="preserve">ния </w:t>
      </w:r>
      <w:r>
        <w:rPr>
          <w:rFonts w:eastAsia="Times New Roman" w:cs="Times New Roman" w:ascii="Cambria" w:hAnsi="Cambria" w:asciiTheme="majorHAnsi" w:hAnsiTheme="majorHAnsi"/>
          <w:b/>
          <w:bCs/>
          <w:sz w:val="28"/>
          <w:szCs w:val="28"/>
          <w:lang w:eastAsia="ru-RU"/>
        </w:rPr>
        <w:t xml:space="preserve">10-12 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процедур.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bCs/>
          <w:sz w:val="28"/>
          <w:szCs w:val="28"/>
          <w:lang w:eastAsia="ru-RU"/>
        </w:rPr>
        <w:t>Аппараты, используемые для индуктотермии: ДКВ-1; ДКВ-2; ИКВ-4.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32"/>
          <w:szCs w:val="32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bCs/>
          <w:sz w:val="32"/>
          <w:szCs w:val="32"/>
          <w:lang w:eastAsia="ru-RU"/>
        </w:rPr>
        <w:t>Некоторые частные методики.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4"/>
        <w:rPr>
          <w:rFonts w:ascii="Cambria" w:hAnsi="Cambria" w:eastAsia="Times New Roman" w:cs="Times New Roman" w:asciiTheme="majorHAnsi" w:hAnsiTheme="majorHAnsi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bCs/>
          <w:sz w:val="28"/>
          <w:szCs w:val="28"/>
          <w:lang w:eastAsia="ru-RU"/>
        </w:rPr>
        <w:t>Индуктотермия при переломах костей конечностей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Для воздей</w:t>
        <w:softHyphen/>
        <w:t>ствия на предплечье используют индуктор-кабель в виде цилинд</w:t>
        <w:softHyphen/>
        <w:t>рической спирали в три витка. Дозировка слаботепловая (140-160 мА), время процедуры 15 мин, ежедневно. Курс лечения 10-12 процедур.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4"/>
        <w:rPr>
          <w:rFonts w:ascii="Cambria" w:hAnsi="Cambria" w:eastAsia="Times New Roman" w:cs="Times New Roman" w:asciiTheme="majorHAnsi" w:hAnsiTheme="majorHAnsi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bCs/>
          <w:sz w:val="28"/>
          <w:szCs w:val="28"/>
          <w:lang w:eastAsia="ru-RU"/>
        </w:rPr>
        <w:t>Индуктотермия при заболеваниях печени и желчного пузыря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Для воздействия на область правого подреберья используют индук</w:t>
        <w:softHyphen/>
        <w:t>тор-диск, дозировка слаботепловая (140-160 мА), продолжитель</w:t>
        <w:softHyphen/>
        <w:t>ность процедуры 10-20 мин, ежедневно или через день. Курс лече</w:t>
        <w:softHyphen/>
        <w:t>ния 10-15 процедур.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4"/>
        <w:rPr>
          <w:rFonts w:ascii="Cambria" w:hAnsi="Cambria" w:eastAsia="Times New Roman" w:cs="Times New Roman" w:asciiTheme="majorHAnsi" w:hAnsiTheme="majorHAnsi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bCs/>
          <w:sz w:val="28"/>
          <w:szCs w:val="28"/>
          <w:lang w:eastAsia="ru-RU"/>
        </w:rPr>
        <w:t>Индуктотермия при заболеваниях легких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Процедуру проводят в положении больного лежа на животе. Используют малый или большой индуктор-диск (а) в зависимости от величины грудной клетки или индуктор-кабель (б) в виде плоской спирали в 3 витка, располагая его в межлопаточной области или на правой или левой половине грудной клетки. При двустороннем процессе применяют индуктор-кабель в форме плоской продольной петли в два витка, располагая на обеих половинах грудной клетки. Дозировка сред</w:t>
        <w:softHyphen/>
        <w:t>нетепловая (180-240 мА), время процедуры 20-30 мин, ежедневно или через день. Курс лечения 12-15 процедур.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4"/>
        <w:rPr>
          <w:rFonts w:ascii="Cambria" w:hAnsi="Cambria" w:eastAsia="Times New Roman" w:cs="Times New Roman" w:asciiTheme="majorHAnsi" w:hAnsiTheme="majorHAnsi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bCs/>
          <w:sz w:val="28"/>
          <w:szCs w:val="28"/>
          <w:lang w:eastAsia="ru-RU"/>
        </w:rPr>
        <w:t>Индуктотермия при заболеваниях позвоночника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Процедуру проводят в положении больного лежа на животе. Используют ин</w:t>
        <w:softHyphen/>
        <w:t>дуктор-кабель в форме продольной петли, направленной по паравертебральным линиям вдоль позвоночника, вдоль верхнего шейного позвонка до крестцового отдела. Дозировка среднетепловая (180-240 мА), время процедуры 20—30 мин, ежедневно или через день. Курс лечения 12-15 процедур.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b/>
          <w:b/>
          <w:sz w:val="32"/>
          <w:szCs w:val="32"/>
          <w:lang w:eastAsia="ru-RU"/>
        </w:rPr>
      </w:pPr>
      <w:r>
        <w:rPr>
          <w:rFonts w:eastAsia="Times New Roman" w:cs="Times New Roman" w:ascii="Cambria" w:hAnsi="Cambria"/>
          <w:b/>
          <w:sz w:val="32"/>
          <w:szCs w:val="32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rPr>
          <w:rFonts w:ascii="Cambria" w:hAnsi="Cambria" w:cs="Arial" w:asciiTheme="majorHAnsi" w:hAnsiTheme="majorHAnsi"/>
          <w:b/>
          <w:b/>
          <w:i/>
          <w:i/>
          <w:sz w:val="28"/>
          <w:szCs w:val="28"/>
        </w:rPr>
      </w:pPr>
      <w:r>
        <w:rPr>
          <w:rFonts w:cs="Arial" w:ascii="Cambria" w:hAnsi="Cambria"/>
          <w:b/>
          <w:i/>
          <w:sz w:val="28"/>
          <w:szCs w:val="28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/>
      </w:pPr>
      <w:r>
        <w:rPr/>
      </w:r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4638873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6b55"/>
    <w:pPr>
      <w:widowControl/>
      <w:bidi w:val="0"/>
      <w:spacing w:lineRule="auto" w:line="36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f28a7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8c4015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8c4015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f28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8c401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8c401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c401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9898-17CB-4AA0-8CF1-5467AA24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Application>LibreOffice/6.3.2.2$Linux_X86_64 LibreOffice_project/30$Build-2</Application>
  <Pages>9</Pages>
  <Words>979</Words>
  <Characters>7252</Characters>
  <CharactersWithSpaces>8119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2016-12-10T08:08:00Z</dcterms:created>
  <dc:creator>Аcer</dc:creator>
  <dc:description/>
  <dc:language>ru-RU</dc:language>
  <cp:lastModifiedBy/>
  <dcterms:modified xsi:type="dcterms:W3CDTF">2020-02-02T19:10:04Z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